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B7" w:rsidRPr="003169B2" w:rsidRDefault="007359B7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3169B2">
        <w:rPr>
          <w:rFonts w:ascii="Arial" w:eastAsia="Calibri" w:hAnsi="Arial" w:cs="Arial"/>
          <w:sz w:val="20"/>
          <w:szCs w:val="20"/>
          <w:lang w:eastAsia="ar-SA"/>
        </w:rPr>
        <w:t>КРАСНОДАРСКИЙ  КРАЙ</w:t>
      </w:r>
    </w:p>
    <w:p w:rsidR="007359B7" w:rsidRPr="003169B2" w:rsidRDefault="00113D42" w:rsidP="00113D42">
      <w:pPr>
        <w:tabs>
          <w:tab w:val="center" w:pos="5102"/>
          <w:tab w:val="left" w:pos="8156"/>
        </w:tabs>
        <w:suppressAutoHyphens/>
        <w:spacing w:after="0" w:line="240" w:lineRule="auto"/>
        <w:ind w:firstLine="567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ab/>
      </w:r>
      <w:r w:rsidR="00CD11DF">
        <w:rPr>
          <w:rFonts w:ascii="Arial" w:eastAsia="Calibri" w:hAnsi="Arial" w:cs="Arial"/>
          <w:sz w:val="20"/>
          <w:szCs w:val="20"/>
          <w:lang w:eastAsia="ar-SA"/>
        </w:rPr>
        <w:t>ТИХОРЕЦКИЙ</w:t>
      </w:r>
      <w:r w:rsidR="008D2E57">
        <w:rPr>
          <w:rFonts w:ascii="Arial" w:eastAsia="Calibri" w:hAnsi="Arial" w:cs="Arial"/>
          <w:sz w:val="20"/>
          <w:szCs w:val="20"/>
          <w:lang w:eastAsia="ar-SA"/>
        </w:rPr>
        <w:t>-</w:t>
      </w:r>
      <w:r w:rsidR="007359B7" w:rsidRPr="003169B2">
        <w:rPr>
          <w:rFonts w:ascii="Arial" w:eastAsia="Calibri" w:hAnsi="Arial" w:cs="Arial"/>
          <w:sz w:val="20"/>
          <w:szCs w:val="20"/>
          <w:lang w:eastAsia="ar-SA"/>
        </w:rPr>
        <w:t>РАЙОН</w:t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 w:rsidRPr="00113D42">
        <w:rPr>
          <w:rFonts w:ascii="Arial" w:eastAsia="Calibri" w:hAnsi="Arial" w:cs="Arial"/>
          <w:sz w:val="32"/>
          <w:szCs w:val="32"/>
          <w:lang w:eastAsia="ar-SA"/>
        </w:rPr>
        <w:t>ПРОЕКТ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3169B2">
        <w:rPr>
          <w:rFonts w:ascii="Arial" w:eastAsia="Calibri" w:hAnsi="Arial" w:cs="Arial"/>
          <w:sz w:val="20"/>
          <w:szCs w:val="20"/>
          <w:lang w:eastAsia="ar-SA"/>
        </w:rPr>
        <w:t xml:space="preserve">СОВЕТ </w:t>
      </w:r>
      <w:r w:rsidR="00CD11DF">
        <w:rPr>
          <w:rFonts w:ascii="Arial" w:eastAsia="Calibri" w:hAnsi="Arial" w:cs="Arial"/>
          <w:sz w:val="20"/>
          <w:szCs w:val="20"/>
          <w:lang w:eastAsia="ar-SA"/>
        </w:rPr>
        <w:t xml:space="preserve">ХОПЕРСКОГО СЕЛЬСКОГО </w:t>
      </w:r>
      <w:r w:rsidRPr="003169B2">
        <w:rPr>
          <w:rFonts w:ascii="Arial" w:eastAsia="Calibri" w:hAnsi="Arial" w:cs="Arial"/>
          <w:sz w:val="20"/>
          <w:szCs w:val="20"/>
          <w:lang w:eastAsia="ar-SA"/>
        </w:rPr>
        <w:t>ПОСЕЛЕНИЯ</w:t>
      </w:r>
    </w:p>
    <w:p w:rsidR="007359B7" w:rsidRPr="003169B2" w:rsidRDefault="00CD11DF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ТИХОРЕЦКОГО</w:t>
      </w:r>
      <w:r w:rsidR="008D2E57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7359B7" w:rsidRPr="003169B2">
        <w:rPr>
          <w:rFonts w:ascii="Arial" w:eastAsia="Calibri" w:hAnsi="Arial" w:cs="Arial"/>
          <w:sz w:val="20"/>
          <w:szCs w:val="20"/>
          <w:lang w:eastAsia="ar-SA"/>
        </w:rPr>
        <w:t>РАЙОНА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3169B2">
        <w:rPr>
          <w:rFonts w:ascii="Arial" w:eastAsia="Calibri" w:hAnsi="Arial" w:cs="Arial"/>
          <w:sz w:val="20"/>
          <w:szCs w:val="20"/>
          <w:lang w:eastAsia="ar-SA"/>
        </w:rPr>
        <w:t>РЕШЕНИЕ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7359B7" w:rsidRPr="003169B2" w:rsidRDefault="008D2E57" w:rsidP="008D2E5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----</w:t>
      </w:r>
      <w:r w:rsidR="0044431C">
        <w:rPr>
          <w:rFonts w:ascii="Arial" w:eastAsia="SimSun" w:hAnsi="Arial" w:cs="Arial"/>
          <w:sz w:val="20"/>
          <w:szCs w:val="20"/>
          <w:lang w:eastAsia="ar-SA"/>
        </w:rPr>
        <w:t>-----------------------------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7359B7" w:rsidRPr="003169B2">
        <w:rPr>
          <w:rFonts w:ascii="Arial" w:eastAsia="Calibri" w:hAnsi="Arial" w:cs="Arial"/>
          <w:sz w:val="20"/>
          <w:szCs w:val="20"/>
          <w:lang w:eastAsia="ar-SA"/>
        </w:rPr>
        <w:t>201</w:t>
      </w:r>
      <w:r>
        <w:rPr>
          <w:rFonts w:ascii="Arial" w:eastAsia="Calibri" w:hAnsi="Arial" w:cs="Arial"/>
          <w:sz w:val="20"/>
          <w:szCs w:val="20"/>
          <w:lang w:eastAsia="ar-SA"/>
        </w:rPr>
        <w:t>8</w:t>
      </w:r>
      <w:r w:rsidR="007359B7" w:rsidRPr="003169B2">
        <w:rPr>
          <w:rFonts w:ascii="Arial" w:eastAsia="Calibri" w:hAnsi="Arial" w:cs="Arial"/>
          <w:sz w:val="20"/>
          <w:szCs w:val="20"/>
          <w:lang w:eastAsia="ar-SA"/>
        </w:rPr>
        <w:t xml:space="preserve"> года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 xml:space="preserve">                          № </w:t>
      </w:r>
      <w:r>
        <w:rPr>
          <w:rFonts w:ascii="Arial" w:eastAsia="SimSun" w:hAnsi="Arial" w:cs="Arial"/>
          <w:sz w:val="20"/>
          <w:szCs w:val="20"/>
          <w:lang w:eastAsia="ar-SA"/>
        </w:rPr>
        <w:t>_____</w:t>
      </w:r>
      <w:r w:rsidR="007359B7" w:rsidRPr="003169B2">
        <w:rPr>
          <w:rFonts w:ascii="Arial" w:eastAsia="Calibri" w:hAnsi="Arial" w:cs="Arial"/>
          <w:sz w:val="20"/>
          <w:szCs w:val="20"/>
          <w:lang w:eastAsia="ar-SA"/>
        </w:rPr>
        <w:t xml:space="preserve">               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         </w:t>
      </w:r>
      <w:r w:rsidR="00682F28">
        <w:rPr>
          <w:rFonts w:ascii="Arial" w:eastAsia="Calibri" w:hAnsi="Arial" w:cs="Arial"/>
          <w:sz w:val="20"/>
          <w:szCs w:val="20"/>
          <w:lang w:eastAsia="ar-SA"/>
        </w:rPr>
        <w:t xml:space="preserve">                ст. Хоперская</w:t>
      </w:r>
    </w:p>
    <w:p w:rsidR="007359B7" w:rsidRPr="003169B2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359B7" w:rsidRPr="003169B2" w:rsidRDefault="007359B7" w:rsidP="007359B7">
      <w:pPr>
        <w:spacing w:after="0" w:line="240" w:lineRule="auto"/>
        <w:ind w:left="567" w:right="566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CD11DF">
        <w:rPr>
          <w:rFonts w:ascii="Arial" w:eastAsia="Times New Roman" w:hAnsi="Arial" w:cs="Arial"/>
          <w:b/>
          <w:sz w:val="24"/>
          <w:szCs w:val="24"/>
          <w:lang w:eastAsia="ru-RU"/>
        </w:rPr>
        <w:t>Хоперского сельского</w:t>
      </w:r>
      <w:r w:rsidRPr="00316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</w:t>
      </w:r>
      <w:r w:rsidR="00CD11DF">
        <w:rPr>
          <w:rFonts w:ascii="Arial" w:eastAsia="Times New Roman" w:hAnsi="Arial" w:cs="Arial"/>
          <w:b/>
          <w:sz w:val="24"/>
          <w:szCs w:val="24"/>
          <w:lang w:eastAsia="ru-RU"/>
        </w:rPr>
        <w:t>Тихорецкого</w:t>
      </w:r>
      <w:r w:rsidRPr="00316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от </w:t>
      </w:r>
      <w:r w:rsidR="00C25C85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="00BB7360" w:rsidRPr="00BB73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25C85">
        <w:rPr>
          <w:rFonts w:ascii="Arial" w:eastAsia="Times New Roman" w:hAnsi="Arial" w:cs="Arial"/>
          <w:b/>
          <w:sz w:val="24"/>
          <w:szCs w:val="24"/>
          <w:lang w:eastAsia="ru-RU"/>
        </w:rPr>
        <w:t>сентября 2016</w:t>
      </w:r>
      <w:r w:rsidRPr="00316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="00C25C85">
        <w:rPr>
          <w:rFonts w:ascii="Arial" w:eastAsia="Times New Roman" w:hAnsi="Arial" w:cs="Arial"/>
          <w:b/>
          <w:sz w:val="24"/>
          <w:szCs w:val="24"/>
          <w:lang w:eastAsia="ru-RU"/>
        </w:rPr>
        <w:t>114</w:t>
      </w:r>
      <w:r w:rsidR="007E53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7D1C74">
        <w:rPr>
          <w:rFonts w:ascii="Arial" w:eastAsia="Times New Roman" w:hAnsi="Arial" w:cs="Arial"/>
          <w:b/>
          <w:sz w:val="24"/>
          <w:szCs w:val="24"/>
          <w:lang w:eastAsia="ru-RU"/>
        </w:rPr>
        <w:t>О налоге на имущество физических лиц</w:t>
      </w:r>
      <w:r w:rsidRPr="003169B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D2E57" w:rsidRPr="00E86289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000000" w:themeColor="text1"/>
          <w:sz w:val="20"/>
          <w:szCs w:val="20"/>
          <w:lang w:eastAsia="ar-SA"/>
        </w:rPr>
      </w:pPr>
    </w:p>
    <w:p w:rsidR="008D2E57" w:rsidRPr="00E86289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000000" w:themeColor="text1"/>
          <w:sz w:val="20"/>
          <w:szCs w:val="20"/>
          <w:lang w:eastAsia="ar-SA"/>
        </w:rPr>
      </w:pPr>
    </w:p>
    <w:p w:rsidR="007359B7" w:rsidRPr="003169B2" w:rsidRDefault="007359B7" w:rsidP="007359B7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169B2">
        <w:rPr>
          <w:rFonts w:ascii="Arial" w:eastAsia="Times New Roman" w:hAnsi="Arial" w:cs="Arial"/>
          <w:sz w:val="20"/>
          <w:szCs w:val="20"/>
          <w:lang w:eastAsia="ru-RU"/>
        </w:rPr>
        <w:t>В соответствии с</w:t>
      </w:r>
      <w:r w:rsidR="00244654" w:rsidRPr="00244654">
        <w:rPr>
          <w:rFonts w:ascii="Arial" w:eastAsia="Times New Roman" w:hAnsi="Arial" w:cs="Arial"/>
          <w:sz w:val="20"/>
          <w:szCs w:val="20"/>
          <w:lang w:eastAsia="ru-RU"/>
        </w:rPr>
        <w:t xml:space="preserve"> главой 32 Налогового кодекса Российской Федерации</w:t>
      </w:r>
      <w:r w:rsidR="0024465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Федеральным законом от 06 октября 2003 года №131-ФЗ «Об общих принципах организации местного самоуправления в Российск</w:t>
      </w:r>
      <w:r w:rsidR="00244654">
        <w:rPr>
          <w:rFonts w:ascii="Arial" w:eastAsia="Times New Roman" w:hAnsi="Arial" w:cs="Arial"/>
          <w:sz w:val="20"/>
          <w:szCs w:val="20"/>
          <w:lang w:eastAsia="ru-RU"/>
        </w:rPr>
        <w:t>ой Федерации»,</w:t>
      </w:r>
      <w:r w:rsidR="00244654" w:rsidRPr="00244654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Федеральным законом от 30 сентября 2017 года № 286-ФЗ «О внесении</w:t>
      </w:r>
      <w:r w:rsidR="00874F45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изменений в</w:t>
      </w:r>
      <w:r w:rsidR="00244654" w:rsidRPr="00244654">
        <w:rPr>
          <w:rFonts w:ascii="Arial" w:eastAsia="Times New Roman" w:hAnsi="Arial" w:cs="Arial"/>
          <w:sz w:val="20"/>
          <w:szCs w:val="20"/>
          <w:lang w:eastAsia="ru-RU"/>
        </w:rPr>
        <w:t xml:space="preserve"> часть вторую Налогового кодекса Российской Федерации и отдельные законодательные акты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25AA1" w:rsidRPr="00325AA1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Российской Федерации», 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>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</w:t>
      </w:r>
      <w:r w:rsidR="008D2E57">
        <w:rPr>
          <w:rFonts w:ascii="Arial" w:eastAsia="Times New Roman" w:hAnsi="Arial" w:cs="Arial"/>
          <w:sz w:val="20"/>
          <w:szCs w:val="20"/>
          <w:lang w:eastAsia="ru-RU"/>
        </w:rPr>
        <w:t>ости объектов налогообложения»,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Совет </w:t>
      </w:r>
      <w:r w:rsidR="00CD11DF">
        <w:rPr>
          <w:rFonts w:ascii="Arial" w:eastAsia="Times New Roman" w:hAnsi="Arial" w:cs="Arial"/>
          <w:sz w:val="20"/>
          <w:szCs w:val="20"/>
          <w:lang w:eastAsia="ru-RU"/>
        </w:rPr>
        <w:t>Хоперского сельского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 </w:t>
      </w:r>
      <w:r w:rsidR="00CD11DF">
        <w:rPr>
          <w:rFonts w:ascii="Arial" w:eastAsia="Times New Roman" w:hAnsi="Arial" w:cs="Arial"/>
          <w:sz w:val="20"/>
          <w:szCs w:val="20"/>
          <w:lang w:eastAsia="ru-RU"/>
        </w:rPr>
        <w:t>Тихорецкого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решил: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ru-RU"/>
        </w:rPr>
      </w:pP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1.Внести в решение 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Совета </w:t>
      </w:r>
      <w:r w:rsidR="00CD11DF">
        <w:rPr>
          <w:rFonts w:ascii="Arial" w:eastAsia="SimSun" w:hAnsi="Arial" w:cs="Arial"/>
          <w:sz w:val="20"/>
          <w:szCs w:val="20"/>
          <w:lang w:eastAsia="ar-SA"/>
        </w:rPr>
        <w:t>Хоперского сельского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поселения </w:t>
      </w:r>
      <w:r w:rsidR="00CD11DF">
        <w:rPr>
          <w:rFonts w:ascii="Arial" w:eastAsia="SimSun" w:hAnsi="Arial" w:cs="Arial"/>
          <w:sz w:val="20"/>
          <w:szCs w:val="20"/>
          <w:lang w:eastAsia="ar-SA"/>
        </w:rPr>
        <w:t>Тихорецкого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района 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от </w:t>
      </w:r>
      <w:r w:rsidR="00C25C85">
        <w:rPr>
          <w:rFonts w:ascii="Arial" w:eastAsia="SimSun" w:hAnsi="Arial" w:cs="Arial"/>
          <w:sz w:val="20"/>
          <w:szCs w:val="20"/>
          <w:lang w:eastAsia="ar-SA"/>
        </w:rPr>
        <w:t>23 сентября 2016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 года № </w:t>
      </w:r>
      <w:r w:rsidR="00C25C85">
        <w:rPr>
          <w:rFonts w:ascii="Arial" w:eastAsia="SimSun" w:hAnsi="Arial" w:cs="Arial"/>
          <w:sz w:val="20"/>
          <w:szCs w:val="20"/>
          <w:lang w:eastAsia="ar-SA"/>
        </w:rPr>
        <w:t>114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«</w:t>
      </w:r>
      <w:r w:rsidR="007D1C74" w:rsidRPr="007D1C74">
        <w:rPr>
          <w:rFonts w:ascii="Arial" w:eastAsia="Times New Roman" w:hAnsi="Arial" w:cs="Arial"/>
          <w:sz w:val="20"/>
          <w:szCs w:val="24"/>
          <w:lang w:eastAsia="ru-RU"/>
        </w:rPr>
        <w:t>О налоге на имущество физических лиц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>»</w:t>
      </w:r>
      <w:r w:rsidR="00BB7360" w:rsidRPr="00BB7360">
        <w:rPr>
          <w:rFonts w:ascii="Arial" w:eastAsia="SimSun" w:hAnsi="Arial" w:cs="Arial"/>
          <w:sz w:val="20"/>
          <w:szCs w:val="20"/>
          <w:lang w:eastAsia="ar-SA"/>
        </w:rPr>
        <w:t xml:space="preserve"> (</w:t>
      </w:r>
      <w:r w:rsidR="00BB7360">
        <w:rPr>
          <w:rFonts w:ascii="Arial" w:eastAsia="SimSun" w:hAnsi="Arial" w:cs="Arial"/>
          <w:sz w:val="20"/>
          <w:szCs w:val="20"/>
          <w:lang w:val="en-US" w:eastAsia="ar-SA"/>
        </w:rPr>
        <w:t>c</w:t>
      </w:r>
      <w:r w:rsidR="00BB7360" w:rsidRPr="00BB7360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BB7360">
        <w:rPr>
          <w:rFonts w:ascii="Arial" w:eastAsia="SimSun" w:hAnsi="Arial" w:cs="Arial"/>
          <w:sz w:val="20"/>
          <w:szCs w:val="20"/>
          <w:lang w:eastAsia="ar-SA"/>
        </w:rPr>
        <w:t xml:space="preserve">изменениями </w:t>
      </w:r>
      <w:r w:rsidR="00842D0F">
        <w:rPr>
          <w:rFonts w:ascii="Arial" w:eastAsia="SimSun" w:hAnsi="Arial" w:cs="Arial"/>
          <w:sz w:val="20"/>
          <w:szCs w:val="20"/>
          <w:lang w:eastAsia="ar-SA"/>
        </w:rPr>
        <w:t>от 26 декабря 2017 года № 179)</w:t>
      </w:r>
      <w:r w:rsidR="00ED3C3D">
        <w:rPr>
          <w:rFonts w:ascii="Arial" w:eastAsia="SimSun" w:hAnsi="Arial" w:cs="Arial"/>
          <w:sz w:val="20"/>
          <w:szCs w:val="20"/>
          <w:lang w:eastAsia="ar-SA"/>
        </w:rPr>
        <w:t xml:space="preserve"> (далее – Решение</w:t>
      </w:r>
      <w:r w:rsidR="00BB7360" w:rsidRPr="00BB7360">
        <w:rPr>
          <w:rFonts w:ascii="Arial" w:eastAsia="SimSun" w:hAnsi="Arial" w:cs="Arial"/>
          <w:sz w:val="20"/>
          <w:szCs w:val="20"/>
          <w:lang w:eastAsia="ar-SA"/>
        </w:rPr>
        <w:t>)</w:t>
      </w:r>
      <w:r w:rsidR="00BB7360" w:rsidRPr="00BB7360">
        <w:rPr>
          <w:rFonts w:ascii="Arial" w:eastAsia="SimSun" w:hAnsi="Arial" w:cs="Arial"/>
          <w:sz w:val="20"/>
          <w:szCs w:val="20"/>
          <w:lang w:eastAsia="ru-RU"/>
        </w:rPr>
        <w:t xml:space="preserve"> </w:t>
      </w:r>
      <w:r w:rsidR="00BB7360" w:rsidRPr="003169B2">
        <w:rPr>
          <w:rFonts w:ascii="Arial" w:eastAsia="SimSun" w:hAnsi="Arial" w:cs="Arial"/>
          <w:sz w:val="20"/>
          <w:szCs w:val="20"/>
          <w:lang w:eastAsia="ru-RU"/>
        </w:rPr>
        <w:t>следующие изменения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>: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 </w:t>
      </w:r>
    </w:p>
    <w:p w:rsidR="007359B7" w:rsidRDefault="00244654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ru-RU"/>
        </w:rPr>
      </w:pPr>
      <w:r>
        <w:rPr>
          <w:rFonts w:ascii="Arial" w:eastAsia="SimSun" w:hAnsi="Arial" w:cs="Arial"/>
          <w:sz w:val="20"/>
          <w:szCs w:val="20"/>
          <w:lang w:eastAsia="ru-RU"/>
        </w:rPr>
        <w:t>1.1. П</w:t>
      </w:r>
      <w:r w:rsidR="007359B7" w:rsidRPr="003169B2">
        <w:rPr>
          <w:rFonts w:ascii="Arial" w:eastAsia="SimSun" w:hAnsi="Arial" w:cs="Arial"/>
          <w:sz w:val="20"/>
          <w:szCs w:val="20"/>
          <w:lang w:eastAsia="ru-RU"/>
        </w:rPr>
        <w:t>ункт 3 изложить в следующей редакции:</w:t>
      </w:r>
    </w:p>
    <w:p w:rsidR="007359B7" w:rsidRPr="003169B2" w:rsidRDefault="007D1C74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7359B7" w:rsidRPr="00163C6A">
        <w:rPr>
          <w:rFonts w:ascii="Arial" w:eastAsia="SimSun" w:hAnsi="Arial" w:cs="Arial"/>
          <w:sz w:val="20"/>
          <w:szCs w:val="20"/>
          <w:lang w:eastAsia="ar-SA"/>
        </w:rPr>
        <w:t>«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>3.</w:t>
      </w:r>
      <w:r w:rsidR="007359B7" w:rsidRPr="00163C6A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>Установить ставки налога</w:t>
      </w:r>
      <w:r w:rsidR="00CD11DF">
        <w:rPr>
          <w:rFonts w:ascii="Arial" w:eastAsia="SimSun" w:hAnsi="Arial" w:cs="Arial"/>
          <w:sz w:val="20"/>
          <w:szCs w:val="20"/>
          <w:lang w:eastAsia="ar-SA"/>
        </w:rPr>
        <w:t xml:space="preserve"> на имущество физических лиц 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>исходя из кадастровой стоимости объектов налогообложения в следующих размерах:</w:t>
      </w:r>
    </w:p>
    <w:p w:rsidR="007359B7" w:rsidRPr="003169B2" w:rsidRDefault="007359B7" w:rsidP="007359B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7359B7" w:rsidRPr="003169B2" w:rsidTr="0099449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налогообложения</w:t>
            </w:r>
          </w:p>
        </w:tc>
      </w:tr>
      <w:tr w:rsidR="007359B7" w:rsidRPr="003169B2" w:rsidTr="00994497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244654">
            <w:pPr>
              <w:tabs>
                <w:tab w:val="left" w:pos="153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1</w:t>
            </w:r>
            <w:r w:rsidR="00244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3169B2" w:rsidRDefault="00CD11DF" w:rsidP="0099449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  <w:p w:rsidR="007359B7" w:rsidRPr="003169B2" w:rsidRDefault="007359B7" w:rsidP="0099449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359B7" w:rsidRPr="003169B2" w:rsidRDefault="007359B7" w:rsidP="0099449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Жилые дома, 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 жилых домов, 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помещения (квартир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комнат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части квартир;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Единые недвижимые комплексы, в состав которых входит хотя бы одно жилое помещение (жилой дом)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4.Гаражи и </w:t>
            </w:r>
            <w:proofErr w:type="spellStart"/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машино</w:t>
            </w:r>
            <w:proofErr w:type="spellEnd"/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-места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</w:tc>
      </w:tr>
      <w:tr w:rsidR="007359B7" w:rsidRPr="003169B2" w:rsidTr="0099449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2</w:t>
            </w:r>
            <w:r w:rsidR="00244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3169B2" w:rsidRDefault="00C25C85" w:rsidP="007359B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  <w:p w:rsidR="007359B7" w:rsidRPr="003169B2" w:rsidRDefault="007359B7" w:rsidP="0099449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3169B2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3</w:t>
            </w:r>
            <w:r w:rsidR="00244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3169B2" w:rsidRDefault="00C25C85" w:rsidP="007359B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7359B7" w:rsidRPr="003169B2" w:rsidRDefault="007359B7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Объекты налогообложения, предусмотренные абзацем вторым пункта 10 статьи 378.2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НК РФ;</w:t>
            </w:r>
          </w:p>
          <w:p w:rsidR="007359B7" w:rsidRPr="003169B2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3169B2" w:rsidTr="00994497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3169B2" w:rsidRDefault="007359B7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59B7" w:rsidRPr="003169B2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4</w:t>
            </w:r>
            <w:r w:rsidR="00244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C25C85" w:rsidP="007359B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объекты налогообложения</w:t>
            </w:r>
          </w:p>
        </w:tc>
      </w:tr>
    </w:tbl>
    <w:p w:rsidR="007359B7" w:rsidRPr="00163C6A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3C6A">
        <w:rPr>
          <w:rFonts w:ascii="Arial" w:eastAsia="Times New Roman" w:hAnsi="Arial" w:cs="Arial"/>
          <w:sz w:val="20"/>
          <w:szCs w:val="20"/>
          <w:lang w:eastAsia="ru-RU"/>
        </w:rPr>
        <w:t xml:space="preserve">.». </w:t>
      </w:r>
      <w:r w:rsidRPr="00163C6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359B7" w:rsidRPr="00163C6A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ru-RU"/>
        </w:rPr>
      </w:pPr>
      <w:r w:rsidRPr="003169B2">
        <w:rPr>
          <w:rFonts w:ascii="Arial" w:eastAsia="SimSun" w:hAnsi="Arial" w:cs="Arial"/>
          <w:sz w:val="20"/>
          <w:szCs w:val="20"/>
          <w:lang w:eastAsia="ru-RU"/>
        </w:rPr>
        <w:t>1.</w:t>
      </w:r>
      <w:r w:rsidRPr="00163C6A">
        <w:rPr>
          <w:rFonts w:ascii="Arial" w:eastAsia="SimSun" w:hAnsi="Arial" w:cs="Arial"/>
          <w:sz w:val="20"/>
          <w:szCs w:val="20"/>
          <w:lang w:eastAsia="ru-RU"/>
        </w:rPr>
        <w:t>2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. </w:t>
      </w:r>
      <w:r w:rsidR="00244654">
        <w:rPr>
          <w:rFonts w:ascii="Arial" w:eastAsia="SimSun" w:hAnsi="Arial" w:cs="Arial"/>
          <w:sz w:val="20"/>
          <w:szCs w:val="20"/>
          <w:lang w:eastAsia="ru-RU"/>
        </w:rPr>
        <w:t>Дополнить</w:t>
      </w:r>
      <w:r w:rsidR="00ED3C3D">
        <w:rPr>
          <w:rFonts w:ascii="Arial" w:eastAsia="SimSun" w:hAnsi="Arial" w:cs="Arial"/>
          <w:sz w:val="20"/>
          <w:szCs w:val="20"/>
          <w:lang w:eastAsia="ru-RU"/>
        </w:rPr>
        <w:t xml:space="preserve"> 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>пункт</w:t>
      </w:r>
      <w:r w:rsidR="00ED3C3D">
        <w:rPr>
          <w:rFonts w:ascii="Arial" w:eastAsia="SimSun" w:hAnsi="Arial" w:cs="Arial"/>
          <w:sz w:val="20"/>
          <w:szCs w:val="20"/>
          <w:lang w:eastAsia="ru-RU"/>
        </w:rPr>
        <w:t>ом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 3</w:t>
      </w:r>
      <w:r w:rsidR="00ED3C3D">
        <w:rPr>
          <w:rFonts w:ascii="Arial" w:eastAsia="SimSun" w:hAnsi="Arial" w:cs="Arial"/>
          <w:sz w:val="20"/>
          <w:szCs w:val="20"/>
          <w:lang w:eastAsia="ru-RU"/>
        </w:rPr>
        <w:t>.1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 следующе</w:t>
      </w:r>
      <w:r w:rsidR="00ED3C3D">
        <w:rPr>
          <w:rFonts w:ascii="Arial" w:eastAsia="SimSun" w:hAnsi="Arial" w:cs="Arial"/>
          <w:sz w:val="20"/>
          <w:szCs w:val="20"/>
          <w:lang w:eastAsia="ru-RU"/>
        </w:rPr>
        <w:t>го</w:t>
      </w:r>
      <w:r w:rsidRPr="003169B2">
        <w:rPr>
          <w:rFonts w:ascii="Arial" w:eastAsia="SimSun" w:hAnsi="Arial" w:cs="Arial"/>
          <w:sz w:val="20"/>
          <w:szCs w:val="20"/>
          <w:lang w:eastAsia="ru-RU"/>
        </w:rPr>
        <w:t xml:space="preserve"> </w:t>
      </w:r>
      <w:r w:rsidR="00ED3C3D">
        <w:rPr>
          <w:rFonts w:ascii="Arial" w:eastAsia="SimSun" w:hAnsi="Arial" w:cs="Arial"/>
          <w:sz w:val="20"/>
          <w:szCs w:val="20"/>
          <w:lang w:eastAsia="ru-RU"/>
        </w:rPr>
        <w:t>содержания:</w:t>
      </w:r>
    </w:p>
    <w:p w:rsidR="008D2E57" w:rsidRPr="00163C6A" w:rsidRDefault="008D2E5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ru-RU"/>
        </w:rPr>
      </w:pPr>
    </w:p>
    <w:p w:rsidR="007359B7" w:rsidRPr="003169B2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163C6A">
        <w:rPr>
          <w:rFonts w:ascii="Arial" w:eastAsia="SimSun" w:hAnsi="Arial" w:cs="Arial"/>
          <w:sz w:val="20"/>
          <w:szCs w:val="20"/>
          <w:lang w:eastAsia="ar-SA"/>
        </w:rPr>
        <w:lastRenderedPageBreak/>
        <w:t>«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>3.</w:t>
      </w:r>
      <w:r w:rsidR="00ED3C3D">
        <w:rPr>
          <w:rFonts w:ascii="Arial" w:eastAsia="SimSun" w:hAnsi="Arial" w:cs="Arial"/>
          <w:sz w:val="20"/>
          <w:szCs w:val="20"/>
          <w:lang w:eastAsia="ar-SA"/>
        </w:rPr>
        <w:t>1.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874F45">
        <w:rPr>
          <w:rFonts w:ascii="Arial" w:eastAsia="SimSun" w:hAnsi="Arial" w:cs="Arial"/>
          <w:sz w:val="20"/>
          <w:szCs w:val="20"/>
          <w:lang w:eastAsia="ar-SA"/>
        </w:rPr>
        <w:t>Установить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ставки налога на имущество физических лиц исходя из кадастровой стоимости объектов налогообложения в следующих размерах:</w:t>
      </w:r>
    </w:p>
    <w:p w:rsidR="007359B7" w:rsidRPr="003169B2" w:rsidRDefault="007359B7" w:rsidP="007359B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7359B7" w:rsidRPr="003169B2" w:rsidTr="0099449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налогообложения</w:t>
            </w:r>
          </w:p>
        </w:tc>
      </w:tr>
      <w:tr w:rsidR="007359B7" w:rsidRPr="003169B2" w:rsidTr="00994497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874F45">
            <w:pPr>
              <w:tabs>
                <w:tab w:val="left" w:pos="153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1</w:t>
            </w:r>
            <w:r w:rsidR="00874F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3169B2" w:rsidRDefault="00A30E81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  <w:r w:rsidR="007359B7"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Жилые дома, 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 жилых домов, 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 квартир, 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Единые недвижимые комплексы, в состав которых входит хотя бы 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 </w:t>
            </w: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4.Гаражи и </w:t>
            </w:r>
            <w:proofErr w:type="spellStart"/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машино</w:t>
            </w:r>
            <w:proofErr w:type="spellEnd"/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-места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</w:tc>
      </w:tr>
      <w:tr w:rsidR="007359B7" w:rsidRPr="003169B2" w:rsidTr="0099449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2</w:t>
            </w:r>
            <w:r w:rsidR="00874F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3169B2" w:rsidRDefault="00A30E81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3169B2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3</w:t>
            </w:r>
            <w:r w:rsidR="00874F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3169B2" w:rsidRDefault="00A30E81" w:rsidP="00A30E81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837E75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7359B7"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</w:t>
            </w:r>
            <w:r w:rsidR="007359B7"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Объекты налогообложения, предусмотренные абзацем вторым пункта 10 статьи 378.2</w:t>
            </w:r>
            <w:r w:rsidRPr="00163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НК РФ;</w:t>
            </w:r>
          </w:p>
          <w:p w:rsidR="007359B7" w:rsidRPr="003169B2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3169B2" w:rsidTr="00994497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3169B2" w:rsidRDefault="007359B7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169B2" w:rsidRDefault="007359B7" w:rsidP="00994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59B7" w:rsidRPr="003169B2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4</w:t>
            </w:r>
            <w:r w:rsidR="00874F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A30E81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3169B2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объекты налогообложения</w:t>
            </w:r>
          </w:p>
        </w:tc>
      </w:tr>
    </w:tbl>
    <w:p w:rsidR="007359B7" w:rsidRPr="00163C6A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3C6A">
        <w:rPr>
          <w:rFonts w:ascii="Arial" w:eastAsia="Times New Roman" w:hAnsi="Arial" w:cs="Arial"/>
          <w:sz w:val="20"/>
          <w:szCs w:val="20"/>
          <w:lang w:eastAsia="ru-RU"/>
        </w:rPr>
        <w:t xml:space="preserve">.». </w:t>
      </w:r>
      <w:r w:rsidRPr="00163C6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359B7" w:rsidRPr="003169B2" w:rsidRDefault="007359B7" w:rsidP="007D1C74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3169B2">
        <w:rPr>
          <w:rFonts w:ascii="Arial" w:eastAsia="SimSun" w:hAnsi="Arial" w:cs="Arial"/>
          <w:sz w:val="20"/>
          <w:szCs w:val="20"/>
          <w:lang w:eastAsia="ar-SA"/>
        </w:rPr>
        <w:t>2. Настоя</w:t>
      </w:r>
      <w:r>
        <w:rPr>
          <w:rFonts w:ascii="Arial" w:eastAsia="SimSun" w:hAnsi="Arial" w:cs="Arial"/>
          <w:sz w:val="20"/>
          <w:szCs w:val="20"/>
          <w:lang w:eastAsia="ar-SA"/>
        </w:rPr>
        <w:t>щее р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>ешение подлежит официальному опубликованию.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3. </w:t>
      </w:r>
      <w:r w:rsidRPr="003169B2">
        <w:rPr>
          <w:rFonts w:ascii="Arial" w:eastAsia="SimSun" w:hAnsi="Arial" w:cs="Arial"/>
          <w:color w:val="000000"/>
          <w:sz w:val="20"/>
          <w:szCs w:val="20"/>
          <w:lang w:eastAsia="ar-SA"/>
        </w:rPr>
        <w:t>Копию настоящего решения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направить в Межрайонную инспекцию Федеральной налоговой службы России № </w:t>
      </w:r>
      <w:r w:rsidR="00837E75">
        <w:rPr>
          <w:rFonts w:ascii="Arial" w:eastAsia="SimSun" w:hAnsi="Arial" w:cs="Arial"/>
          <w:sz w:val="20"/>
          <w:szCs w:val="20"/>
          <w:lang w:eastAsia="ar-SA"/>
        </w:rPr>
        <w:t>1</w:t>
      </w:r>
      <w:r w:rsidR="008D2E57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>по Краснодарскому краю для руководства в работе.</w:t>
      </w:r>
    </w:p>
    <w:p w:rsidR="007359B7" w:rsidRPr="00163C6A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3169B2">
        <w:rPr>
          <w:rFonts w:ascii="Arial" w:eastAsia="SimSun" w:hAnsi="Arial" w:cs="Arial"/>
          <w:sz w:val="20"/>
          <w:szCs w:val="20"/>
          <w:lang w:eastAsia="ar-SA"/>
        </w:rPr>
        <w:t>4. Опубликовать настоящее решение в газете «</w:t>
      </w:r>
      <w:r w:rsidR="00837E75">
        <w:rPr>
          <w:rFonts w:ascii="Arial" w:eastAsia="SimSun" w:hAnsi="Arial" w:cs="Arial"/>
          <w:sz w:val="20"/>
          <w:szCs w:val="20"/>
          <w:lang w:eastAsia="ar-SA"/>
        </w:rPr>
        <w:t>Тихорецкие вести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» и разместить на официальном сайте </w:t>
      </w:r>
      <w:r w:rsidR="007D1C74">
        <w:rPr>
          <w:rFonts w:ascii="Arial" w:eastAsia="SimSun" w:hAnsi="Arial" w:cs="Arial"/>
          <w:sz w:val="20"/>
          <w:szCs w:val="20"/>
          <w:lang w:eastAsia="ar-SA"/>
        </w:rPr>
        <w:t>Хоперского сельского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поселения </w:t>
      </w:r>
      <w:r w:rsidR="007D1C74">
        <w:rPr>
          <w:rFonts w:ascii="Arial" w:eastAsia="SimSun" w:hAnsi="Arial" w:cs="Arial"/>
          <w:sz w:val="20"/>
          <w:szCs w:val="20"/>
          <w:lang w:eastAsia="ar-SA"/>
        </w:rPr>
        <w:t>Тихорецкого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 района в информационно-телекоммуникационной сети «Интернет».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5. Контроль за выполнением настоящего решения возложить на </w:t>
      </w:r>
      <w:r w:rsidR="007D1C74">
        <w:rPr>
          <w:rFonts w:ascii="Arial" w:eastAsia="SimSun" w:hAnsi="Arial" w:cs="Arial"/>
          <w:sz w:val="20"/>
          <w:szCs w:val="20"/>
          <w:lang w:eastAsia="ar-SA"/>
        </w:rPr>
        <w:t xml:space="preserve">планово-бюджетную 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комиссию </w:t>
      </w:r>
      <w:r w:rsidR="00837E75">
        <w:rPr>
          <w:rFonts w:ascii="Arial" w:eastAsia="SimSun" w:hAnsi="Arial" w:cs="Arial"/>
          <w:sz w:val="20"/>
          <w:szCs w:val="20"/>
          <w:lang w:eastAsia="ar-SA"/>
        </w:rPr>
        <w:t>Хоперского сельского поселения Тихорецкого</w:t>
      </w:r>
      <w:r w:rsidR="008D2E57">
        <w:rPr>
          <w:rFonts w:ascii="Arial" w:eastAsia="SimSun" w:hAnsi="Arial" w:cs="Arial"/>
          <w:sz w:val="20"/>
          <w:szCs w:val="20"/>
          <w:lang w:eastAsia="ar-SA"/>
        </w:rPr>
        <w:t xml:space="preserve"> района</w:t>
      </w:r>
      <w:r w:rsidR="007D1C74">
        <w:rPr>
          <w:rFonts w:ascii="Arial" w:eastAsia="SimSun" w:hAnsi="Arial" w:cs="Arial"/>
          <w:sz w:val="20"/>
          <w:szCs w:val="20"/>
          <w:lang w:eastAsia="ar-SA"/>
        </w:rPr>
        <w:t xml:space="preserve"> (Попова)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>.</w:t>
      </w:r>
    </w:p>
    <w:p w:rsidR="007359B7" w:rsidRPr="00163C6A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163C6A">
        <w:rPr>
          <w:rFonts w:ascii="Arial" w:eastAsia="SimSun" w:hAnsi="Arial" w:cs="Arial"/>
          <w:sz w:val="20"/>
          <w:szCs w:val="20"/>
          <w:lang w:eastAsia="ar-SA"/>
        </w:rPr>
        <w:t>6</w:t>
      </w:r>
      <w:r w:rsidRPr="003169B2">
        <w:rPr>
          <w:rFonts w:ascii="Arial" w:eastAsia="SimSun" w:hAnsi="Arial" w:cs="Arial"/>
          <w:sz w:val="20"/>
          <w:szCs w:val="20"/>
          <w:lang w:eastAsia="ar-SA"/>
        </w:rPr>
        <w:t xml:space="preserve">. 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 xml:space="preserve">Подпункт 1.1 пункта 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</w:t>
      </w:r>
      <w:r w:rsidR="008D2E57">
        <w:rPr>
          <w:rFonts w:ascii="Arial" w:eastAsia="SimSun" w:hAnsi="Arial" w:cs="Arial"/>
          <w:sz w:val="20"/>
          <w:szCs w:val="20"/>
          <w:lang w:eastAsia="ar-SA"/>
        </w:rPr>
        <w:t xml:space="preserve">года </w:t>
      </w:r>
      <w:r w:rsidRPr="00163C6A">
        <w:rPr>
          <w:rFonts w:ascii="Arial" w:eastAsia="SimSun" w:hAnsi="Arial" w:cs="Arial"/>
          <w:sz w:val="20"/>
          <w:szCs w:val="20"/>
          <w:lang w:eastAsia="ar-SA"/>
        </w:rPr>
        <w:t>по 31 декабря 2017 года.</w:t>
      </w:r>
    </w:p>
    <w:p w:rsidR="007359B7" w:rsidRPr="00163C6A" w:rsidRDefault="00ED3C3D" w:rsidP="00874F4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7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 xml:space="preserve">. </w:t>
      </w:r>
      <w:r w:rsidR="007359B7" w:rsidRPr="00163C6A">
        <w:rPr>
          <w:rFonts w:ascii="Arial" w:eastAsia="SimSun" w:hAnsi="Arial" w:cs="Arial"/>
          <w:sz w:val="20"/>
          <w:szCs w:val="20"/>
          <w:lang w:eastAsia="ar-SA"/>
        </w:rPr>
        <w:t xml:space="preserve">Подпункт 1.2 пункта 1 настоящего решения вступает в силу со дня его официального опубликования и распространяется на правоотношения, </w:t>
      </w:r>
      <w:r>
        <w:rPr>
          <w:rFonts w:ascii="Arial" w:eastAsia="SimSun" w:hAnsi="Arial" w:cs="Arial"/>
          <w:sz w:val="20"/>
          <w:szCs w:val="20"/>
          <w:lang w:eastAsia="ar-SA"/>
        </w:rPr>
        <w:t>возникшие</w:t>
      </w:r>
      <w:r w:rsidR="007359B7" w:rsidRPr="00163C6A">
        <w:rPr>
          <w:rFonts w:ascii="Arial" w:eastAsia="SimSun" w:hAnsi="Arial" w:cs="Arial"/>
          <w:sz w:val="20"/>
          <w:szCs w:val="20"/>
          <w:lang w:eastAsia="ar-SA"/>
        </w:rPr>
        <w:t xml:space="preserve"> с 1 января 2018</w:t>
      </w:r>
      <w:r w:rsidR="008D2E57">
        <w:rPr>
          <w:rFonts w:ascii="Arial" w:eastAsia="SimSun" w:hAnsi="Arial" w:cs="Arial"/>
          <w:sz w:val="20"/>
          <w:szCs w:val="20"/>
          <w:lang w:eastAsia="ar-SA"/>
        </w:rPr>
        <w:t xml:space="preserve"> года</w:t>
      </w:r>
      <w:r w:rsidR="007359B7" w:rsidRPr="00163C6A">
        <w:rPr>
          <w:rFonts w:ascii="Arial" w:eastAsia="SimSun" w:hAnsi="Arial" w:cs="Arial"/>
          <w:sz w:val="20"/>
          <w:szCs w:val="20"/>
          <w:lang w:eastAsia="ar-SA"/>
        </w:rPr>
        <w:t>.</w:t>
      </w:r>
    </w:p>
    <w:p w:rsidR="007359B7" w:rsidRPr="003169B2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iCs/>
          <w:sz w:val="20"/>
          <w:szCs w:val="20"/>
          <w:lang w:eastAsia="ar-SA"/>
        </w:rPr>
      </w:pP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iCs/>
          <w:sz w:val="20"/>
          <w:szCs w:val="20"/>
          <w:lang w:eastAsia="ar-SA"/>
        </w:rPr>
      </w:pPr>
    </w:p>
    <w:p w:rsidR="00113D42" w:rsidRPr="003169B2" w:rsidRDefault="00113D42" w:rsidP="007359B7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iCs/>
          <w:sz w:val="20"/>
          <w:szCs w:val="20"/>
          <w:lang w:eastAsia="ar-SA"/>
        </w:rPr>
      </w:pP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  <w:r w:rsidRPr="003169B2">
        <w:rPr>
          <w:rFonts w:ascii="Arial" w:eastAsia="SimSun" w:hAnsi="Arial" w:cs="Arial"/>
          <w:sz w:val="20"/>
          <w:szCs w:val="20"/>
          <w:lang w:eastAsia="ar-SA"/>
        </w:rPr>
        <w:t>Председатель Совета</w:t>
      </w:r>
    </w:p>
    <w:p w:rsidR="007359B7" w:rsidRPr="003169B2" w:rsidRDefault="00CD11DF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Хоперского сельского поселения</w:t>
      </w:r>
      <w:r>
        <w:rPr>
          <w:rFonts w:ascii="Arial" w:eastAsia="SimSun" w:hAnsi="Arial" w:cs="Arial"/>
          <w:sz w:val="20"/>
          <w:szCs w:val="20"/>
          <w:lang w:eastAsia="ar-SA"/>
        </w:rPr>
        <w:tab/>
      </w:r>
      <w:r>
        <w:rPr>
          <w:rFonts w:ascii="Arial" w:eastAsia="SimSun" w:hAnsi="Arial" w:cs="Arial"/>
          <w:sz w:val="20"/>
          <w:szCs w:val="20"/>
          <w:lang w:eastAsia="ar-SA"/>
        </w:rPr>
        <w:tab/>
      </w:r>
      <w:r>
        <w:rPr>
          <w:rFonts w:ascii="Arial" w:eastAsia="SimSun" w:hAnsi="Arial" w:cs="Arial"/>
          <w:sz w:val="20"/>
          <w:szCs w:val="20"/>
          <w:lang w:eastAsia="ar-SA"/>
        </w:rPr>
        <w:tab/>
        <w:t xml:space="preserve">                                                С.Ю.Писанов</w:t>
      </w:r>
    </w:p>
    <w:p w:rsidR="007359B7" w:rsidRPr="003169B2" w:rsidRDefault="00CD11DF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Тихорецкого</w:t>
      </w:r>
      <w:r w:rsidR="007359B7" w:rsidRPr="003169B2">
        <w:rPr>
          <w:rFonts w:ascii="Arial" w:eastAsia="SimSun" w:hAnsi="Arial" w:cs="Arial"/>
          <w:sz w:val="20"/>
          <w:szCs w:val="20"/>
          <w:lang w:eastAsia="ar-SA"/>
        </w:rPr>
        <w:t xml:space="preserve"> района</w:t>
      </w: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  <w:bookmarkStart w:id="0" w:name="_GoBack"/>
      <w:bookmarkEnd w:id="0"/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59B7" w:rsidRPr="00163C6A" w:rsidRDefault="007359B7" w:rsidP="007359B7">
      <w:pPr>
        <w:rPr>
          <w:rFonts w:ascii="Arial" w:hAnsi="Arial" w:cs="Arial"/>
          <w:sz w:val="20"/>
          <w:szCs w:val="20"/>
        </w:rPr>
      </w:pPr>
    </w:p>
    <w:p w:rsidR="00C07A1F" w:rsidRDefault="00096DA8"/>
    <w:sectPr w:rsidR="00C07A1F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42" w:rsidRDefault="00113D42" w:rsidP="00113D42">
      <w:pPr>
        <w:spacing w:after="0" w:line="240" w:lineRule="auto"/>
      </w:pPr>
      <w:r>
        <w:separator/>
      </w:r>
    </w:p>
  </w:endnote>
  <w:endnote w:type="continuationSeparator" w:id="0">
    <w:p w:rsidR="00113D42" w:rsidRDefault="00113D42" w:rsidP="0011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42" w:rsidRDefault="00113D42" w:rsidP="00113D42">
      <w:pPr>
        <w:spacing w:after="0" w:line="240" w:lineRule="auto"/>
      </w:pPr>
      <w:r>
        <w:separator/>
      </w:r>
    </w:p>
  </w:footnote>
  <w:footnote w:type="continuationSeparator" w:id="0">
    <w:p w:rsidR="00113D42" w:rsidRDefault="00113D42" w:rsidP="00113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B7"/>
    <w:rsid w:val="00096DA8"/>
    <w:rsid w:val="00113D42"/>
    <w:rsid w:val="001B0D3A"/>
    <w:rsid w:val="00244654"/>
    <w:rsid w:val="00260562"/>
    <w:rsid w:val="00325AA1"/>
    <w:rsid w:val="00337821"/>
    <w:rsid w:val="00411410"/>
    <w:rsid w:val="0044431C"/>
    <w:rsid w:val="00682F28"/>
    <w:rsid w:val="007359B7"/>
    <w:rsid w:val="007D1C74"/>
    <w:rsid w:val="007E5374"/>
    <w:rsid w:val="00837E75"/>
    <w:rsid w:val="00842D0F"/>
    <w:rsid w:val="00874F45"/>
    <w:rsid w:val="00876ED7"/>
    <w:rsid w:val="008D2E57"/>
    <w:rsid w:val="00A30E81"/>
    <w:rsid w:val="00BB7360"/>
    <w:rsid w:val="00C25C85"/>
    <w:rsid w:val="00CD11DF"/>
    <w:rsid w:val="00E86289"/>
    <w:rsid w:val="00E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685B"/>
  <w15:docId w15:val="{CC7F3A65-7DE8-444C-8A28-9C0A4F1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D42"/>
  </w:style>
  <w:style w:type="paragraph" w:styleId="a5">
    <w:name w:val="footer"/>
    <w:basedOn w:val="a"/>
    <w:link w:val="a6"/>
    <w:uiPriority w:val="99"/>
    <w:unhideWhenUsed/>
    <w:rsid w:val="0011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18</cp:revision>
  <cp:lastPrinted>2018-10-31T12:26:00Z</cp:lastPrinted>
  <dcterms:created xsi:type="dcterms:W3CDTF">2018-10-08T15:35:00Z</dcterms:created>
  <dcterms:modified xsi:type="dcterms:W3CDTF">2018-10-31T12:26:00Z</dcterms:modified>
</cp:coreProperties>
</file>